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40" w:rsidRPr="00E8008F" w:rsidRDefault="002F3D40" w:rsidP="002F3D40">
      <w:pPr>
        <w:jc w:val="center"/>
        <w:rPr>
          <w:rtl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3152775" y="333375"/>
            <wp:positionH relativeFrom="margin">
              <wp:align>center</wp:align>
            </wp:positionH>
            <wp:positionV relativeFrom="margin">
              <wp:align>top</wp:align>
            </wp:positionV>
            <wp:extent cx="1243330" cy="704850"/>
            <wp:effectExtent l="0" t="0" r="0" b="0"/>
            <wp:wrapSquare wrapText="bothSides"/>
            <wp:docPr id="1" name="תמונה 1" descr="C:\Users\u20m\AppData\Local\Microsoft\Windows\Temporary Internet Files\Content.Word\60Y+bank_Color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0m\AppData\Local\Microsoft\Windows\Temporary Internet Files\Content.Word\60Y+bank_Color_RGB_72DP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D40" w:rsidRDefault="002F3D40" w:rsidP="002F3D40">
      <w:pPr>
        <w:pStyle w:val="regpar"/>
        <w:spacing w:line="300" w:lineRule="atLeast"/>
        <w:ind w:firstLine="0"/>
        <w:jc w:val="center"/>
        <w:rPr>
          <w:rFonts w:ascii="Times New Roman" w:hAnsi="Times New Roman" w:cs="David"/>
          <w:b/>
        </w:rPr>
      </w:pPr>
    </w:p>
    <w:p w:rsidR="002F3D40" w:rsidRDefault="002F3D40" w:rsidP="002F3D40">
      <w:pPr>
        <w:pStyle w:val="regpar"/>
        <w:spacing w:line="300" w:lineRule="atLeast"/>
        <w:ind w:firstLine="0"/>
        <w:jc w:val="center"/>
        <w:rPr>
          <w:rFonts w:ascii="Times New Roman" w:hAnsi="Times New Roman" w:cs="David"/>
          <w:b/>
        </w:rPr>
      </w:pPr>
    </w:p>
    <w:p w:rsidR="002F3D40" w:rsidRDefault="002F3D40" w:rsidP="002F3D40">
      <w:pPr>
        <w:pStyle w:val="regpar"/>
        <w:spacing w:line="300" w:lineRule="atLeast"/>
        <w:ind w:firstLine="0"/>
        <w:jc w:val="center"/>
        <w:rPr>
          <w:rFonts w:ascii="Times New Roman" w:hAnsi="Times New Roman" w:cs="David"/>
          <w:b/>
        </w:rPr>
      </w:pPr>
    </w:p>
    <w:p w:rsidR="002F3D40" w:rsidRPr="008E4D8E" w:rsidRDefault="002F3D40" w:rsidP="002F3D40">
      <w:pPr>
        <w:pStyle w:val="regpar"/>
        <w:spacing w:line="300" w:lineRule="atLeast"/>
        <w:ind w:firstLine="0"/>
        <w:jc w:val="center"/>
        <w:rPr>
          <w:rFonts w:ascii="Times New Roman" w:hAnsi="Times New Roman" w:cs="David"/>
          <w:b/>
        </w:rPr>
      </w:pPr>
      <w:r w:rsidRPr="008E4D8E">
        <w:rPr>
          <w:rFonts w:ascii="Times New Roman" w:hAnsi="Times New Roman" w:cs="David"/>
          <w:b/>
        </w:rPr>
        <w:t>BANK OF ISRAEL</w:t>
      </w:r>
    </w:p>
    <w:p w:rsidR="002F3D40" w:rsidRPr="008E4D8E" w:rsidRDefault="002F3D40" w:rsidP="002F3D40">
      <w:pPr>
        <w:pStyle w:val="regpar"/>
        <w:spacing w:line="300" w:lineRule="atLeast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D8E">
        <w:rPr>
          <w:rFonts w:ascii="Times New Roman" w:hAnsi="Times New Roman" w:cs="Times New Roman"/>
          <w:sz w:val="26"/>
          <w:szCs w:val="26"/>
        </w:rPr>
        <w:t>Office of the Spokesperson and Economic Information</w:t>
      </w:r>
    </w:p>
    <w:p w:rsidR="002F3D40" w:rsidRDefault="002F3D40" w:rsidP="00BF0870">
      <w:pPr>
        <w:pStyle w:val="regpar"/>
        <w:jc w:val="right"/>
        <w:rPr>
          <w:rFonts w:cs="Times New Roman"/>
        </w:rPr>
      </w:pPr>
    </w:p>
    <w:p w:rsidR="00815A0E" w:rsidRDefault="00112EF0" w:rsidP="00BF0870">
      <w:pPr>
        <w:pStyle w:val="regpar"/>
        <w:jc w:val="right"/>
        <w:rPr>
          <w:rFonts w:cs="Times New Roman"/>
        </w:rPr>
      </w:pPr>
      <w:r>
        <w:rPr>
          <w:rFonts w:cs="Times New Roman"/>
        </w:rPr>
        <w:t>June 1</w:t>
      </w:r>
      <w:r w:rsidR="00BF0870">
        <w:rPr>
          <w:rFonts w:cs="Times New Roman"/>
        </w:rPr>
        <w:t>8</w:t>
      </w:r>
      <w:r>
        <w:rPr>
          <w:rFonts w:cs="Times New Roman"/>
        </w:rPr>
        <w:t>, 2015</w:t>
      </w:r>
    </w:p>
    <w:p w:rsidR="00815A0E" w:rsidRDefault="00815A0E" w:rsidP="00CF0D1C">
      <w:pPr>
        <w:pStyle w:val="regpar"/>
        <w:rPr>
          <w:rFonts w:cs="Times New Roman"/>
        </w:rPr>
      </w:pPr>
    </w:p>
    <w:p w:rsidR="00CF0D1C" w:rsidRPr="002F3D40" w:rsidRDefault="00E82531" w:rsidP="00E82531">
      <w:pPr>
        <w:jc w:val="center"/>
      </w:pPr>
      <w:r w:rsidRPr="002F3D40">
        <w:t>Press Release</w:t>
      </w:r>
    </w:p>
    <w:p w:rsidR="00243947" w:rsidRDefault="00243947" w:rsidP="00405489">
      <w:pPr>
        <w:pStyle w:val="regpar"/>
        <w:spacing w:line="240" w:lineRule="auto"/>
        <w:ind w:firstLine="0"/>
        <w:jc w:val="center"/>
      </w:pPr>
    </w:p>
    <w:p w:rsidR="00D15C26" w:rsidRPr="002F3D40" w:rsidRDefault="00D15C26" w:rsidP="002F3D40">
      <w:pPr>
        <w:pStyle w:val="regpar"/>
        <w:spacing w:line="360" w:lineRule="auto"/>
        <w:ind w:firstLine="0"/>
        <w:jc w:val="center"/>
        <w:rPr>
          <w:b/>
          <w:bCs/>
          <w:u w:val="single"/>
        </w:rPr>
      </w:pPr>
      <w:r w:rsidRPr="002F3D40">
        <w:rPr>
          <w:b/>
          <w:bCs/>
          <w:u w:val="single"/>
        </w:rPr>
        <w:t xml:space="preserve">Advance preparation ahead of the issue of the </w:t>
      </w:r>
      <w:r w:rsidR="00FB3542" w:rsidRPr="002F3D40">
        <w:rPr>
          <w:b/>
          <w:bCs/>
          <w:u w:val="single"/>
        </w:rPr>
        <w:t xml:space="preserve">new </w:t>
      </w:r>
      <w:r w:rsidRPr="002F3D40">
        <w:rPr>
          <w:b/>
          <w:bCs/>
          <w:u w:val="single"/>
        </w:rPr>
        <w:t xml:space="preserve">NIS </w:t>
      </w:r>
      <w:r w:rsidR="00112EF0" w:rsidRPr="002F3D40">
        <w:rPr>
          <w:b/>
          <w:bCs/>
          <w:u w:val="single"/>
        </w:rPr>
        <w:t xml:space="preserve">200 </w:t>
      </w:r>
      <w:r w:rsidRPr="002F3D40">
        <w:rPr>
          <w:b/>
          <w:bCs/>
          <w:u w:val="single"/>
        </w:rPr>
        <w:t>banknote</w:t>
      </w:r>
      <w:r w:rsidR="00112EF0" w:rsidRPr="002F3D40">
        <w:rPr>
          <w:b/>
          <w:bCs/>
          <w:u w:val="single"/>
        </w:rPr>
        <w:t xml:space="preserve">, the second denomination </w:t>
      </w:r>
      <w:r w:rsidRPr="002F3D40">
        <w:rPr>
          <w:b/>
          <w:bCs/>
          <w:u w:val="single"/>
        </w:rPr>
        <w:t>in the new banknote series</w:t>
      </w:r>
    </w:p>
    <w:p w:rsidR="00D15C26" w:rsidRDefault="00D15C26" w:rsidP="00296293">
      <w:pPr>
        <w:pStyle w:val="regpar"/>
        <w:spacing w:line="240" w:lineRule="auto"/>
        <w:ind w:firstLine="0"/>
      </w:pPr>
    </w:p>
    <w:p w:rsidR="00D15C26" w:rsidRDefault="00D15C26" w:rsidP="00CE70A4">
      <w:pPr>
        <w:pStyle w:val="regpar"/>
        <w:spacing w:line="240" w:lineRule="auto"/>
        <w:ind w:firstLine="0"/>
      </w:pPr>
      <w:r>
        <w:t xml:space="preserve">Ahead of the new NIS </w:t>
      </w:r>
      <w:r w:rsidR="00210025">
        <w:t xml:space="preserve">200 </w:t>
      </w:r>
      <w:r>
        <w:t>banknote</w:t>
      </w:r>
      <w:r w:rsidR="009E508D">
        <w:t>—</w:t>
      </w:r>
      <w:r w:rsidR="00210025">
        <w:t>the second denomination in the new series</w:t>
      </w:r>
      <w:r w:rsidR="009E508D">
        <w:t>—entering circulation</w:t>
      </w:r>
      <w:r w:rsidR="00210025">
        <w:t xml:space="preserve">, </w:t>
      </w:r>
      <w:r w:rsidR="00243947">
        <w:t>the Bank of Israel provided the first samples to manufacturers, suppliers, and operators of vending, counting and sorting machin</w:t>
      </w:r>
      <w:r w:rsidR="00E526F4">
        <w:t xml:space="preserve">es, in order to calibrate </w:t>
      </w:r>
      <w:r w:rsidR="00081C9D">
        <w:t>the</w:t>
      </w:r>
      <w:r w:rsidR="000D08BA">
        <w:t>ir</w:t>
      </w:r>
      <w:r w:rsidR="003E3336">
        <w:t xml:space="preserve"> </w:t>
      </w:r>
      <w:r w:rsidR="00081C9D">
        <w:t xml:space="preserve">equipment </w:t>
      </w:r>
      <w:r w:rsidR="00243947">
        <w:t xml:space="preserve">to accept the new banknote. </w:t>
      </w:r>
      <w:r w:rsidR="00210025">
        <w:t xml:space="preserve">This step is part of an extended process </w:t>
      </w:r>
      <w:r w:rsidR="00022542">
        <w:t xml:space="preserve">intended </w:t>
      </w:r>
      <w:r w:rsidR="00243947">
        <w:t xml:space="preserve">to enable </w:t>
      </w:r>
      <w:r w:rsidR="00B32ECF">
        <w:t xml:space="preserve">those entities </w:t>
      </w:r>
      <w:r w:rsidR="00243947">
        <w:t>to prepare</w:t>
      </w:r>
      <w:r w:rsidR="00210025">
        <w:t xml:space="preserve"> for the </w:t>
      </w:r>
      <w:r w:rsidR="00CE70A4">
        <w:t xml:space="preserve">entry into circulation of the </w:t>
      </w:r>
      <w:r w:rsidR="00210025">
        <w:t>new banknote series</w:t>
      </w:r>
      <w:r w:rsidR="00243947">
        <w:t xml:space="preserve">, technically and operationally, </w:t>
      </w:r>
      <w:r w:rsidR="00561C63">
        <w:t>in a timely fashion</w:t>
      </w:r>
      <w:r w:rsidR="00243947">
        <w:t>.</w:t>
      </w:r>
      <w:r w:rsidR="000E439D">
        <w:t xml:space="preserve"> The banknote samples </w:t>
      </w:r>
      <w:r w:rsidR="00B32ECF">
        <w:t xml:space="preserve">were provided in order to allow the calibration of </w:t>
      </w:r>
      <w:r w:rsidR="00BA1500">
        <w:t>the</w:t>
      </w:r>
      <w:r w:rsidR="00B32ECF">
        <w:t xml:space="preserve"> </w:t>
      </w:r>
      <w:r w:rsidR="00BA1500">
        <w:t>machines</w:t>
      </w:r>
      <w:r w:rsidR="000E439D">
        <w:t>, as was done ahead of the launch of the new NIS 50 banknote in September 2014.</w:t>
      </w:r>
    </w:p>
    <w:p w:rsidR="00BA1500" w:rsidRDefault="00BA1500" w:rsidP="00296293">
      <w:pPr>
        <w:pStyle w:val="regpar"/>
        <w:spacing w:line="240" w:lineRule="auto"/>
        <w:ind w:firstLine="0"/>
      </w:pPr>
    </w:p>
    <w:p w:rsidR="000949C2" w:rsidRDefault="003A6254" w:rsidP="005271B8">
      <w:pPr>
        <w:pStyle w:val="regpar"/>
        <w:spacing w:line="240" w:lineRule="auto"/>
        <w:ind w:firstLine="0"/>
      </w:pPr>
      <w:r>
        <w:t>Soon, and before the new NIS 200 banknote enters circulation, t</w:t>
      </w:r>
      <w:r w:rsidR="000949C2">
        <w:t xml:space="preserve">he Bank of Israel </w:t>
      </w:r>
      <w:r>
        <w:t xml:space="preserve">will publish </w:t>
      </w:r>
      <w:r w:rsidR="000949C2">
        <w:t xml:space="preserve">the final and detailed design of the new banknote, </w:t>
      </w:r>
      <w:r>
        <w:t>as well as</w:t>
      </w:r>
      <w:r w:rsidR="000949C2">
        <w:t xml:space="preserve"> </w:t>
      </w:r>
      <w:r w:rsidR="0084592D">
        <w:t xml:space="preserve">comprehensive </w:t>
      </w:r>
      <w:r w:rsidR="000949C2">
        <w:t xml:space="preserve">explanatory information about the security features integrated into </w:t>
      </w:r>
      <w:r w:rsidR="005271B8">
        <w:t>it</w:t>
      </w:r>
      <w:r w:rsidR="00175D94">
        <w:t xml:space="preserve">. </w:t>
      </w:r>
      <w:r w:rsidR="000949C2">
        <w:t xml:space="preserve">It should be noted that the existing banknotes will continue to be legal tender </w:t>
      </w:r>
      <w:r w:rsidR="000949C2" w:rsidRPr="00D2759E">
        <w:rPr>
          <w:b/>
          <w:bCs/>
        </w:rPr>
        <w:t>for several years</w:t>
      </w:r>
      <w:r w:rsidR="000949C2">
        <w:t xml:space="preserve">, and the public will be provided a timeframe of </w:t>
      </w:r>
      <w:r w:rsidR="000949C2" w:rsidRPr="00D2759E">
        <w:rPr>
          <w:b/>
          <w:bCs/>
        </w:rPr>
        <w:t>several years</w:t>
      </w:r>
      <w:r w:rsidR="000949C2">
        <w:t xml:space="preserve"> during which it will be possible to exchange the </w:t>
      </w:r>
      <w:r w:rsidR="00B638A7">
        <w:t xml:space="preserve">existing </w:t>
      </w:r>
      <w:r w:rsidR="000949C2">
        <w:t>banknotes for the new ones.</w:t>
      </w:r>
    </w:p>
    <w:p w:rsidR="004317CC" w:rsidRDefault="004317CC" w:rsidP="004317CC">
      <w:pPr>
        <w:pStyle w:val="regpar"/>
        <w:spacing w:line="240" w:lineRule="auto"/>
        <w:ind w:firstLine="0"/>
      </w:pPr>
    </w:p>
    <w:p w:rsidR="00426682" w:rsidRDefault="00426682" w:rsidP="004317CC">
      <w:pPr>
        <w:pStyle w:val="regpar"/>
        <w:spacing w:line="240" w:lineRule="auto"/>
        <w:ind w:firstLine="0"/>
      </w:pPr>
    </w:p>
    <w:p w:rsidR="00426682" w:rsidRPr="00426682" w:rsidRDefault="00426682" w:rsidP="00E248AF">
      <w:pPr>
        <w:pStyle w:val="regpar"/>
        <w:spacing w:line="240" w:lineRule="auto"/>
        <w:ind w:firstLine="0"/>
        <w:rPr>
          <w:u w:val="single"/>
        </w:rPr>
      </w:pPr>
      <w:r w:rsidRPr="00426682">
        <w:rPr>
          <w:u w:val="single"/>
        </w:rPr>
        <w:t xml:space="preserve">Details of the new NIS </w:t>
      </w:r>
      <w:r w:rsidR="00E248AF">
        <w:rPr>
          <w:u w:val="single"/>
        </w:rPr>
        <w:t>200</w:t>
      </w:r>
      <w:r w:rsidRPr="00426682">
        <w:rPr>
          <w:u w:val="single"/>
        </w:rPr>
        <w:t xml:space="preserve"> banknote:</w:t>
      </w:r>
    </w:p>
    <w:p w:rsidR="00D06456" w:rsidRDefault="00D06456" w:rsidP="004317CC">
      <w:pPr>
        <w:pStyle w:val="regpar"/>
        <w:spacing w:line="240" w:lineRule="auto"/>
        <w:ind w:firstLine="0"/>
      </w:pPr>
    </w:p>
    <w:p w:rsidR="00D06456" w:rsidRDefault="00D06456" w:rsidP="004317CC">
      <w:pPr>
        <w:pStyle w:val="regpar"/>
        <w:spacing w:line="240" w:lineRule="auto"/>
        <w:ind w:firstLine="0"/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4586"/>
      </w:tblGrid>
      <w:tr w:rsidR="00D06456" w:rsidRPr="0010044D" w:rsidTr="00E939B5">
        <w:tc>
          <w:tcPr>
            <w:tcW w:w="4072" w:type="dxa"/>
            <w:shd w:val="clear" w:color="auto" w:fill="auto"/>
          </w:tcPr>
          <w:p w:rsidR="00D06456" w:rsidRPr="009D2ED5" w:rsidRDefault="00D06456" w:rsidP="006B3D23">
            <w:pPr>
              <w:pStyle w:val="regpar"/>
              <w:ind w:firstLine="0"/>
              <w:rPr>
                <w:b/>
                <w:bCs/>
              </w:rPr>
            </w:pPr>
            <w:r w:rsidRPr="009D2ED5">
              <w:rPr>
                <w:b/>
                <w:bCs/>
              </w:rPr>
              <w:t>Denomination</w:t>
            </w:r>
          </w:p>
        </w:tc>
        <w:tc>
          <w:tcPr>
            <w:tcW w:w="4586" w:type="dxa"/>
            <w:shd w:val="clear" w:color="auto" w:fill="auto"/>
          </w:tcPr>
          <w:p w:rsidR="00D06456" w:rsidRPr="0010044D" w:rsidRDefault="00D06456" w:rsidP="007B3CDB">
            <w:pPr>
              <w:pStyle w:val="regpar"/>
              <w:ind w:firstLine="0"/>
              <w:rPr>
                <w:b/>
                <w:bCs/>
              </w:rPr>
            </w:pPr>
            <w:r w:rsidRPr="0010044D">
              <w:rPr>
                <w:b/>
                <w:bCs/>
              </w:rPr>
              <w:t xml:space="preserve">NIS </w:t>
            </w:r>
            <w:r w:rsidR="007B3CDB">
              <w:rPr>
                <w:b/>
                <w:bCs/>
              </w:rPr>
              <w:t>200</w:t>
            </w:r>
          </w:p>
        </w:tc>
      </w:tr>
      <w:tr w:rsidR="00D06456" w:rsidTr="00E939B5">
        <w:trPr>
          <w:trHeight w:val="624"/>
        </w:trPr>
        <w:tc>
          <w:tcPr>
            <w:tcW w:w="4072" w:type="dxa"/>
            <w:shd w:val="clear" w:color="auto" w:fill="auto"/>
          </w:tcPr>
          <w:p w:rsidR="00D06456" w:rsidRPr="009D2ED5" w:rsidRDefault="00D06456" w:rsidP="006B3D23">
            <w:pPr>
              <w:pStyle w:val="regpar"/>
              <w:ind w:firstLine="0"/>
              <w:rPr>
                <w:b/>
                <w:bCs/>
              </w:rPr>
            </w:pPr>
            <w:r w:rsidRPr="00047B6A">
              <w:rPr>
                <w:b/>
                <w:bCs/>
              </w:rPr>
              <w:t>Portrait (horizontal)</w:t>
            </w:r>
          </w:p>
        </w:tc>
        <w:tc>
          <w:tcPr>
            <w:tcW w:w="4586" w:type="dxa"/>
            <w:shd w:val="clear" w:color="auto" w:fill="auto"/>
          </w:tcPr>
          <w:p w:rsidR="00D06456" w:rsidRDefault="007B3CDB" w:rsidP="007B3CDB">
            <w:pPr>
              <w:pStyle w:val="regpar"/>
              <w:ind w:firstLine="0"/>
            </w:pPr>
            <w:proofErr w:type="spellStart"/>
            <w:r>
              <w:t>Natan</w:t>
            </w:r>
            <w:proofErr w:type="spellEnd"/>
            <w:r>
              <w:t xml:space="preserve"> </w:t>
            </w:r>
            <w:proofErr w:type="spellStart"/>
            <w:r>
              <w:t>Alterman</w:t>
            </w:r>
            <w:proofErr w:type="spellEnd"/>
          </w:p>
        </w:tc>
      </w:tr>
      <w:tr w:rsidR="00D06456" w:rsidTr="00E939B5">
        <w:tc>
          <w:tcPr>
            <w:tcW w:w="4072" w:type="dxa"/>
            <w:shd w:val="clear" w:color="auto" w:fill="auto"/>
          </w:tcPr>
          <w:p w:rsidR="00D06456" w:rsidRPr="009D2ED5" w:rsidRDefault="00D06456" w:rsidP="006B3D23">
            <w:pPr>
              <w:pStyle w:val="regpar"/>
              <w:ind w:firstLine="0"/>
              <w:rPr>
                <w:b/>
                <w:bCs/>
              </w:rPr>
            </w:pPr>
            <w:r w:rsidRPr="009D2ED5">
              <w:rPr>
                <w:b/>
                <w:bCs/>
              </w:rPr>
              <w:t>Dominant color</w:t>
            </w:r>
          </w:p>
        </w:tc>
        <w:tc>
          <w:tcPr>
            <w:tcW w:w="4586" w:type="dxa"/>
            <w:shd w:val="clear" w:color="auto" w:fill="auto"/>
          </w:tcPr>
          <w:p w:rsidR="00D06456" w:rsidRDefault="007B3CDB" w:rsidP="006B3D23">
            <w:pPr>
              <w:pStyle w:val="regpar"/>
              <w:ind w:firstLine="0"/>
            </w:pPr>
            <w:r>
              <w:t>Blue</w:t>
            </w:r>
          </w:p>
        </w:tc>
      </w:tr>
      <w:tr w:rsidR="00D06456" w:rsidTr="00E939B5">
        <w:tc>
          <w:tcPr>
            <w:tcW w:w="4072" w:type="dxa"/>
            <w:shd w:val="clear" w:color="auto" w:fill="auto"/>
          </w:tcPr>
          <w:p w:rsidR="00D06456" w:rsidRPr="009D2ED5" w:rsidRDefault="00D06456" w:rsidP="00426682">
            <w:pPr>
              <w:pStyle w:val="regpar"/>
              <w:ind w:firstLine="0"/>
              <w:rPr>
                <w:b/>
                <w:bCs/>
              </w:rPr>
            </w:pPr>
            <w:r w:rsidRPr="009D2ED5">
              <w:rPr>
                <w:b/>
                <w:bCs/>
              </w:rPr>
              <w:t>Size</w:t>
            </w:r>
          </w:p>
        </w:tc>
        <w:tc>
          <w:tcPr>
            <w:tcW w:w="4586" w:type="dxa"/>
            <w:shd w:val="clear" w:color="auto" w:fill="auto"/>
          </w:tcPr>
          <w:p w:rsidR="00D06456" w:rsidRDefault="00D06456" w:rsidP="00B04577">
            <w:pPr>
              <w:pStyle w:val="regpar"/>
              <w:ind w:firstLine="0"/>
            </w:pPr>
            <w:r w:rsidRPr="00F30FA9">
              <w:t>1</w:t>
            </w:r>
            <w:r w:rsidR="00346555" w:rsidRPr="00F30FA9">
              <w:t>5</w:t>
            </w:r>
            <w:r w:rsidR="00B04577">
              <w:t>0</w:t>
            </w:r>
            <w:r w:rsidR="00426682" w:rsidRPr="00F30FA9">
              <w:t>mm</w:t>
            </w:r>
            <w:r w:rsidR="00426682">
              <w:t xml:space="preserve"> </w:t>
            </w:r>
            <w:r>
              <w:t>x</w:t>
            </w:r>
            <w:r w:rsidR="001D543D">
              <w:t xml:space="preserve"> </w:t>
            </w:r>
            <w:r>
              <w:t>71</w:t>
            </w:r>
            <w:r w:rsidR="00426682">
              <w:t>mm</w:t>
            </w:r>
          </w:p>
        </w:tc>
      </w:tr>
      <w:tr w:rsidR="00A27799" w:rsidTr="00E939B5">
        <w:tc>
          <w:tcPr>
            <w:tcW w:w="4072" w:type="dxa"/>
            <w:shd w:val="clear" w:color="auto" w:fill="auto"/>
          </w:tcPr>
          <w:p w:rsidR="00A27799" w:rsidRPr="009D2ED5" w:rsidRDefault="00A27799" w:rsidP="006B3D23">
            <w:pPr>
              <w:pStyle w:val="regpar"/>
              <w:ind w:firstLine="0"/>
              <w:rPr>
                <w:b/>
                <w:bCs/>
              </w:rPr>
            </w:pPr>
            <w:r w:rsidRPr="009D2ED5">
              <w:rPr>
                <w:b/>
                <w:bCs/>
              </w:rPr>
              <w:t>Background picture on front of note</w:t>
            </w:r>
          </w:p>
        </w:tc>
        <w:tc>
          <w:tcPr>
            <w:tcW w:w="4586" w:type="dxa"/>
            <w:shd w:val="clear" w:color="auto" w:fill="auto"/>
          </w:tcPr>
          <w:p w:rsidR="00A27799" w:rsidRDefault="00A27799" w:rsidP="00B8647B">
            <w:pPr>
              <w:pStyle w:val="regpar"/>
              <w:ind w:firstLine="0"/>
            </w:pPr>
            <w:r>
              <w:t>Autumn leaves</w:t>
            </w:r>
          </w:p>
        </w:tc>
      </w:tr>
      <w:tr w:rsidR="00A27799" w:rsidTr="00E939B5">
        <w:tc>
          <w:tcPr>
            <w:tcW w:w="4072" w:type="dxa"/>
            <w:shd w:val="clear" w:color="auto" w:fill="auto"/>
          </w:tcPr>
          <w:p w:rsidR="00A27799" w:rsidRDefault="00A27799" w:rsidP="006B3D23">
            <w:pPr>
              <w:pStyle w:val="regpar"/>
              <w:ind w:firstLine="0"/>
              <w:rPr>
                <w:b/>
                <w:bCs/>
              </w:rPr>
            </w:pPr>
            <w:proofErr w:type="spellStart"/>
            <w:r w:rsidRPr="009D2ED5">
              <w:rPr>
                <w:b/>
                <w:bCs/>
              </w:rPr>
              <w:t>Microtext</w:t>
            </w:r>
            <w:proofErr w:type="spellEnd"/>
            <w:r w:rsidRPr="009D2ED5">
              <w:rPr>
                <w:b/>
                <w:bCs/>
              </w:rPr>
              <w:t xml:space="preserve"> on front of note (can only </w:t>
            </w:r>
          </w:p>
          <w:p w:rsidR="00A27799" w:rsidRPr="009D2ED5" w:rsidRDefault="00A27799" w:rsidP="006B3D23">
            <w:pPr>
              <w:pStyle w:val="regpar"/>
              <w:ind w:firstLine="0"/>
              <w:rPr>
                <w:b/>
                <w:bCs/>
              </w:rPr>
            </w:pPr>
            <w:r w:rsidRPr="009D2ED5">
              <w:rPr>
                <w:b/>
                <w:bCs/>
              </w:rPr>
              <w:t>be seen with a magnifying glass)</w:t>
            </w:r>
          </w:p>
        </w:tc>
        <w:tc>
          <w:tcPr>
            <w:tcW w:w="4586" w:type="dxa"/>
            <w:shd w:val="clear" w:color="auto" w:fill="auto"/>
          </w:tcPr>
          <w:p w:rsidR="00A27799" w:rsidRDefault="00A27799" w:rsidP="00A27799">
            <w:pPr>
              <w:pStyle w:val="regpar"/>
              <w:ind w:firstLine="0"/>
            </w:pPr>
            <w:r>
              <w:t xml:space="preserve">Poem: </w:t>
            </w:r>
          </w:p>
          <w:p w:rsidR="00A27799" w:rsidRDefault="00AC7F57" w:rsidP="004D4B78">
            <w:pPr>
              <w:pStyle w:val="regpar"/>
              <w:ind w:firstLine="0"/>
            </w:pPr>
            <w:r>
              <w:t>“</w:t>
            </w:r>
            <w:r w:rsidR="00A27799">
              <w:t>Eternal Meeting</w:t>
            </w:r>
            <w:r>
              <w:t>”</w:t>
            </w:r>
          </w:p>
        </w:tc>
      </w:tr>
      <w:tr w:rsidR="00A27799" w:rsidTr="00E939B5">
        <w:tc>
          <w:tcPr>
            <w:tcW w:w="4072" w:type="dxa"/>
            <w:shd w:val="clear" w:color="auto" w:fill="auto"/>
          </w:tcPr>
          <w:p w:rsidR="00A27799" w:rsidRPr="009D2ED5" w:rsidRDefault="00A27799" w:rsidP="006B3D23">
            <w:pPr>
              <w:pStyle w:val="regpar"/>
              <w:ind w:firstLine="0"/>
              <w:rPr>
                <w:b/>
                <w:bCs/>
              </w:rPr>
            </w:pPr>
            <w:r w:rsidRPr="009D2ED5">
              <w:rPr>
                <w:b/>
                <w:bCs/>
              </w:rPr>
              <w:t>Background picture</w:t>
            </w:r>
            <w:r>
              <w:rPr>
                <w:b/>
                <w:bCs/>
              </w:rPr>
              <w:t>s</w:t>
            </w:r>
            <w:r w:rsidRPr="009D2ED5">
              <w:rPr>
                <w:b/>
                <w:bCs/>
              </w:rPr>
              <w:t xml:space="preserve"> on back of note</w:t>
            </w:r>
          </w:p>
        </w:tc>
        <w:tc>
          <w:tcPr>
            <w:tcW w:w="4586" w:type="dxa"/>
            <w:shd w:val="clear" w:color="auto" w:fill="auto"/>
          </w:tcPr>
          <w:p w:rsidR="00A27799" w:rsidRDefault="00A27799" w:rsidP="00426682">
            <w:pPr>
              <w:pStyle w:val="regpar"/>
              <w:ind w:firstLine="0"/>
            </w:pPr>
            <w:r>
              <w:t>Moonlit flora</w:t>
            </w:r>
          </w:p>
        </w:tc>
      </w:tr>
      <w:tr w:rsidR="00A27799" w:rsidTr="00E939B5">
        <w:tc>
          <w:tcPr>
            <w:tcW w:w="4072" w:type="dxa"/>
            <w:shd w:val="clear" w:color="auto" w:fill="auto"/>
          </w:tcPr>
          <w:p w:rsidR="00A27799" w:rsidRPr="009D2ED5" w:rsidRDefault="00A27799" w:rsidP="006B3D23">
            <w:pPr>
              <w:pStyle w:val="regpar"/>
              <w:ind w:firstLine="0"/>
              <w:rPr>
                <w:b/>
                <w:bCs/>
              </w:rPr>
            </w:pPr>
            <w:r w:rsidRPr="009D2ED5">
              <w:rPr>
                <w:b/>
                <w:bCs/>
              </w:rPr>
              <w:t>Text on back of note</w:t>
            </w:r>
          </w:p>
        </w:tc>
        <w:tc>
          <w:tcPr>
            <w:tcW w:w="4586" w:type="dxa"/>
            <w:shd w:val="clear" w:color="auto" w:fill="auto"/>
          </w:tcPr>
          <w:p w:rsidR="00A27799" w:rsidRDefault="006C42EF" w:rsidP="006C42EF">
            <w:pPr>
              <w:pStyle w:val="regpar"/>
              <w:ind w:firstLine="0"/>
            </w:pPr>
            <w:r>
              <w:t>A s</w:t>
            </w:r>
            <w:r w:rsidR="00A27799">
              <w:t>egment from the poem “Morning poem”</w:t>
            </w:r>
          </w:p>
        </w:tc>
      </w:tr>
      <w:tr w:rsidR="00A27799" w:rsidTr="00E939B5">
        <w:tc>
          <w:tcPr>
            <w:tcW w:w="4072" w:type="dxa"/>
            <w:shd w:val="clear" w:color="auto" w:fill="auto"/>
          </w:tcPr>
          <w:p w:rsidR="00A27799" w:rsidRPr="009D2ED5" w:rsidRDefault="00A27799" w:rsidP="006B3D23">
            <w:pPr>
              <w:pStyle w:val="regpar"/>
              <w:ind w:firstLine="0"/>
              <w:rPr>
                <w:b/>
                <w:bCs/>
              </w:rPr>
            </w:pPr>
            <w:r w:rsidRPr="00F30FA9">
              <w:rPr>
                <w:b/>
                <w:bCs/>
              </w:rPr>
              <w:t xml:space="preserve">Signs for </w:t>
            </w:r>
            <w:r w:rsidR="00F03194">
              <w:rPr>
                <w:b/>
                <w:bCs/>
              </w:rPr>
              <w:t xml:space="preserve">the </w:t>
            </w:r>
            <w:r w:rsidRPr="00F30FA9">
              <w:rPr>
                <w:b/>
                <w:bCs/>
              </w:rPr>
              <w:t>visually impaired</w:t>
            </w:r>
          </w:p>
        </w:tc>
        <w:tc>
          <w:tcPr>
            <w:tcW w:w="4586" w:type="dxa"/>
            <w:shd w:val="clear" w:color="auto" w:fill="auto"/>
          </w:tcPr>
          <w:p w:rsidR="00A27799" w:rsidRDefault="00A27799" w:rsidP="00D158B8">
            <w:pPr>
              <w:pStyle w:val="regpar"/>
              <w:ind w:firstLine="0"/>
            </w:pPr>
            <w:r>
              <w:t xml:space="preserve">Different length for each </w:t>
            </w:r>
            <w:r w:rsidRPr="00EC2A25">
              <w:t>denomination—a difference of 7 mm; un</w:t>
            </w:r>
            <w:r>
              <w:t xml:space="preserve">ique symbol </w:t>
            </w:r>
            <w:r w:rsidR="00C66554">
              <w:t xml:space="preserve">on the banknote’s margins </w:t>
            </w:r>
            <w:r>
              <w:t>for each denomination</w:t>
            </w:r>
            <w:r w:rsidR="00D03F4D">
              <w:t>,</w:t>
            </w:r>
            <w:r w:rsidR="00C66554">
              <w:t xml:space="preserve"> printed with </w:t>
            </w:r>
            <w:r w:rsidR="00D158B8">
              <w:t xml:space="preserve">transparent </w:t>
            </w:r>
            <w:r w:rsidR="00C66554">
              <w:t>raised ink</w:t>
            </w:r>
            <w:r>
              <w:t>, which is discernible by touch.</w:t>
            </w:r>
          </w:p>
        </w:tc>
      </w:tr>
    </w:tbl>
    <w:p w:rsidR="004317CC" w:rsidRDefault="004317CC" w:rsidP="002F3D40">
      <w:pPr>
        <w:pStyle w:val="regpar"/>
        <w:spacing w:line="240" w:lineRule="auto"/>
        <w:ind w:firstLine="0"/>
      </w:pPr>
    </w:p>
    <w:sectPr w:rsidR="004317CC" w:rsidSect="002F3D40">
      <w:footerReference w:type="default" r:id="rId13"/>
      <w:endnotePr>
        <w:numFmt w:val="hebrew2"/>
      </w:endnotePr>
      <w:pgSz w:w="11880" w:h="16820"/>
      <w:pgMar w:top="907" w:right="1741" w:bottom="567" w:left="1741" w:header="510" w:footer="680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AA" w:rsidRDefault="00264DAA">
      <w:r>
        <w:separator/>
      </w:r>
    </w:p>
  </w:endnote>
  <w:endnote w:type="continuationSeparator" w:id="0">
    <w:p w:rsidR="00264DAA" w:rsidRDefault="0026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83" w:rsidRDefault="002D1C83" w:rsidP="000705AF">
    <w:pPr>
      <w:pStyle w:val="a3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AA" w:rsidRDefault="00264DAA">
      <w:r>
        <w:separator/>
      </w:r>
    </w:p>
  </w:footnote>
  <w:footnote w:type="continuationSeparator" w:id="0">
    <w:p w:rsidR="00264DAA" w:rsidRDefault="0026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BCF"/>
    <w:multiLevelType w:val="hybridMultilevel"/>
    <w:tmpl w:val="9AA2C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80953"/>
    <w:multiLevelType w:val="hybridMultilevel"/>
    <w:tmpl w:val="CCEC281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4F9193C"/>
    <w:multiLevelType w:val="hybridMultilevel"/>
    <w:tmpl w:val="2F3C68E6"/>
    <w:lvl w:ilvl="0" w:tplc="6DF24B04">
      <w:start w:val="1"/>
      <w:numFmt w:val="decimal"/>
      <w:lvlText w:val="%1."/>
      <w:lvlJc w:val="left"/>
      <w:pPr>
        <w:ind w:left="8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2BE7BF2"/>
    <w:multiLevelType w:val="hybridMultilevel"/>
    <w:tmpl w:val="B204F07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3F4534D"/>
    <w:multiLevelType w:val="hybridMultilevel"/>
    <w:tmpl w:val="0B68D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hebrew2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19"/>
    <w:rsid w:val="00022542"/>
    <w:rsid w:val="00030DDC"/>
    <w:rsid w:val="00045C9C"/>
    <w:rsid w:val="000705AF"/>
    <w:rsid w:val="00081C9D"/>
    <w:rsid w:val="00085B0E"/>
    <w:rsid w:val="000949C2"/>
    <w:rsid w:val="000B5994"/>
    <w:rsid w:val="000C0FC2"/>
    <w:rsid w:val="000D08BA"/>
    <w:rsid w:val="000E439D"/>
    <w:rsid w:val="00112EF0"/>
    <w:rsid w:val="001321D8"/>
    <w:rsid w:val="00132F99"/>
    <w:rsid w:val="00134359"/>
    <w:rsid w:val="00141BCB"/>
    <w:rsid w:val="00154D93"/>
    <w:rsid w:val="00166AC5"/>
    <w:rsid w:val="0017216B"/>
    <w:rsid w:val="00175D94"/>
    <w:rsid w:val="00182A3B"/>
    <w:rsid w:val="001874CE"/>
    <w:rsid w:val="001A1040"/>
    <w:rsid w:val="001A1AD2"/>
    <w:rsid w:val="001D543D"/>
    <w:rsid w:val="001E47BC"/>
    <w:rsid w:val="001E6B5B"/>
    <w:rsid w:val="00210025"/>
    <w:rsid w:val="00213C98"/>
    <w:rsid w:val="00243947"/>
    <w:rsid w:val="00264DAA"/>
    <w:rsid w:val="0028213C"/>
    <w:rsid w:val="00296293"/>
    <w:rsid w:val="002C4B3E"/>
    <w:rsid w:val="002D1C83"/>
    <w:rsid w:val="002F3D40"/>
    <w:rsid w:val="00327270"/>
    <w:rsid w:val="00346555"/>
    <w:rsid w:val="003728E6"/>
    <w:rsid w:val="003A6254"/>
    <w:rsid w:val="003C0743"/>
    <w:rsid w:val="003E0917"/>
    <w:rsid w:val="003E2B83"/>
    <w:rsid w:val="003E3336"/>
    <w:rsid w:val="003E6113"/>
    <w:rsid w:val="004003BC"/>
    <w:rsid w:val="00405489"/>
    <w:rsid w:val="004110D1"/>
    <w:rsid w:val="00415EAC"/>
    <w:rsid w:val="00422B62"/>
    <w:rsid w:val="00426682"/>
    <w:rsid w:val="004317CC"/>
    <w:rsid w:val="00444740"/>
    <w:rsid w:val="00446D80"/>
    <w:rsid w:val="00454E20"/>
    <w:rsid w:val="00456D6E"/>
    <w:rsid w:val="00472229"/>
    <w:rsid w:val="004A58F8"/>
    <w:rsid w:val="004B6B3F"/>
    <w:rsid w:val="004D4B78"/>
    <w:rsid w:val="004E00CD"/>
    <w:rsid w:val="005026A9"/>
    <w:rsid w:val="0050367F"/>
    <w:rsid w:val="005140E2"/>
    <w:rsid w:val="005164DB"/>
    <w:rsid w:val="005271B8"/>
    <w:rsid w:val="00561C63"/>
    <w:rsid w:val="0058171E"/>
    <w:rsid w:val="00592800"/>
    <w:rsid w:val="00614E22"/>
    <w:rsid w:val="00653DD8"/>
    <w:rsid w:val="00667D9A"/>
    <w:rsid w:val="00674B6F"/>
    <w:rsid w:val="006A4BAF"/>
    <w:rsid w:val="006A7C72"/>
    <w:rsid w:val="006C42EF"/>
    <w:rsid w:val="00705402"/>
    <w:rsid w:val="00712274"/>
    <w:rsid w:val="00716785"/>
    <w:rsid w:val="00756633"/>
    <w:rsid w:val="007B0926"/>
    <w:rsid w:val="007B3CDB"/>
    <w:rsid w:val="007E0148"/>
    <w:rsid w:val="00804442"/>
    <w:rsid w:val="00815A0E"/>
    <w:rsid w:val="00824ECF"/>
    <w:rsid w:val="0083198F"/>
    <w:rsid w:val="0084592D"/>
    <w:rsid w:val="00846767"/>
    <w:rsid w:val="00861C7B"/>
    <w:rsid w:val="008B469D"/>
    <w:rsid w:val="008E609A"/>
    <w:rsid w:val="008E71B3"/>
    <w:rsid w:val="0091129E"/>
    <w:rsid w:val="00922658"/>
    <w:rsid w:val="009245CC"/>
    <w:rsid w:val="00951C83"/>
    <w:rsid w:val="00951FE6"/>
    <w:rsid w:val="00961C10"/>
    <w:rsid w:val="0096474C"/>
    <w:rsid w:val="00966821"/>
    <w:rsid w:val="009A26CA"/>
    <w:rsid w:val="009B1D20"/>
    <w:rsid w:val="009E1746"/>
    <w:rsid w:val="009E508D"/>
    <w:rsid w:val="00A00BA0"/>
    <w:rsid w:val="00A1085F"/>
    <w:rsid w:val="00A1434D"/>
    <w:rsid w:val="00A27799"/>
    <w:rsid w:val="00AC7F57"/>
    <w:rsid w:val="00AE5DBD"/>
    <w:rsid w:val="00AF3AEE"/>
    <w:rsid w:val="00B04577"/>
    <w:rsid w:val="00B12E32"/>
    <w:rsid w:val="00B14746"/>
    <w:rsid w:val="00B32ECF"/>
    <w:rsid w:val="00B358AC"/>
    <w:rsid w:val="00B638A7"/>
    <w:rsid w:val="00B8332F"/>
    <w:rsid w:val="00B9024F"/>
    <w:rsid w:val="00BA1500"/>
    <w:rsid w:val="00BD5CCC"/>
    <w:rsid w:val="00BE3444"/>
    <w:rsid w:val="00BF0870"/>
    <w:rsid w:val="00C27C2E"/>
    <w:rsid w:val="00C50C71"/>
    <w:rsid w:val="00C66554"/>
    <w:rsid w:val="00CB293C"/>
    <w:rsid w:val="00CD3548"/>
    <w:rsid w:val="00CD694D"/>
    <w:rsid w:val="00CE70A4"/>
    <w:rsid w:val="00CF0D1C"/>
    <w:rsid w:val="00D00732"/>
    <w:rsid w:val="00D03F4D"/>
    <w:rsid w:val="00D06456"/>
    <w:rsid w:val="00D14F9E"/>
    <w:rsid w:val="00D158B8"/>
    <w:rsid w:val="00D15C26"/>
    <w:rsid w:val="00D2759E"/>
    <w:rsid w:val="00D50C23"/>
    <w:rsid w:val="00D75D66"/>
    <w:rsid w:val="00D762DC"/>
    <w:rsid w:val="00D80EC4"/>
    <w:rsid w:val="00D84716"/>
    <w:rsid w:val="00D85775"/>
    <w:rsid w:val="00DA3F03"/>
    <w:rsid w:val="00DB7C69"/>
    <w:rsid w:val="00DC50EE"/>
    <w:rsid w:val="00DC6114"/>
    <w:rsid w:val="00DF1093"/>
    <w:rsid w:val="00E10BE6"/>
    <w:rsid w:val="00E12451"/>
    <w:rsid w:val="00E172BA"/>
    <w:rsid w:val="00E2459F"/>
    <w:rsid w:val="00E248AF"/>
    <w:rsid w:val="00E25CB9"/>
    <w:rsid w:val="00E33A81"/>
    <w:rsid w:val="00E46FEA"/>
    <w:rsid w:val="00E526F4"/>
    <w:rsid w:val="00E627E9"/>
    <w:rsid w:val="00E82531"/>
    <w:rsid w:val="00E939B5"/>
    <w:rsid w:val="00EB368F"/>
    <w:rsid w:val="00EC30CA"/>
    <w:rsid w:val="00EE23AD"/>
    <w:rsid w:val="00F03194"/>
    <w:rsid w:val="00F06039"/>
    <w:rsid w:val="00F2104A"/>
    <w:rsid w:val="00F30FA9"/>
    <w:rsid w:val="00F50978"/>
    <w:rsid w:val="00F64D32"/>
    <w:rsid w:val="00F67FD4"/>
    <w:rsid w:val="00F745AB"/>
    <w:rsid w:val="00F83319"/>
    <w:rsid w:val="00FB3542"/>
    <w:rsid w:val="00FC3998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regpar"/>
    <w:qFormat/>
    <w:rsid w:val="000705AF"/>
    <w:pPr>
      <w:spacing w:line="300" w:lineRule="exact"/>
      <w:jc w:val="both"/>
    </w:pPr>
    <w:rPr>
      <w:rFonts w:ascii="Times" w:eastAsia="Times New Roman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par">
    <w:name w:val="regpar"/>
    <w:basedOn w:val="a"/>
    <w:rsid w:val="000705AF"/>
    <w:pPr>
      <w:ind w:firstLine="240"/>
    </w:pPr>
  </w:style>
  <w:style w:type="paragraph" w:styleId="a3">
    <w:name w:val="footer"/>
    <w:basedOn w:val="a"/>
    <w:rsid w:val="000705AF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0705AF"/>
    <w:pPr>
      <w:tabs>
        <w:tab w:val="center" w:pos="4200"/>
        <w:tab w:val="right" w:pos="8400"/>
      </w:tabs>
    </w:pPr>
  </w:style>
  <w:style w:type="character" w:styleId="a5">
    <w:name w:val="Hyperlink"/>
    <w:basedOn w:val="a0"/>
    <w:rsid w:val="000705AF"/>
    <w:rPr>
      <w:color w:val="0000FF"/>
      <w:u w:val="single"/>
    </w:rPr>
  </w:style>
  <w:style w:type="paragraph" w:styleId="a6">
    <w:name w:val="footnote text"/>
    <w:basedOn w:val="a"/>
    <w:semiHidden/>
    <w:rsid w:val="00BE3444"/>
    <w:rPr>
      <w:sz w:val="20"/>
      <w:szCs w:val="20"/>
    </w:rPr>
  </w:style>
  <w:style w:type="character" w:styleId="a7">
    <w:name w:val="footnote reference"/>
    <w:basedOn w:val="a0"/>
    <w:semiHidden/>
    <w:rsid w:val="00BE3444"/>
    <w:rPr>
      <w:vertAlign w:val="superscript"/>
    </w:rPr>
  </w:style>
  <w:style w:type="paragraph" w:styleId="a8">
    <w:name w:val="Date"/>
    <w:basedOn w:val="a"/>
    <w:next w:val="a"/>
    <w:rsid w:val="00E82531"/>
  </w:style>
  <w:style w:type="paragraph" w:styleId="a9">
    <w:name w:val="Balloon Text"/>
    <w:basedOn w:val="a"/>
    <w:link w:val="aa"/>
    <w:rsid w:val="00F6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4D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regpar"/>
    <w:qFormat/>
    <w:rsid w:val="000705AF"/>
    <w:pPr>
      <w:spacing w:line="300" w:lineRule="exact"/>
      <w:jc w:val="both"/>
    </w:pPr>
    <w:rPr>
      <w:rFonts w:ascii="Times" w:eastAsia="Times New Roman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par">
    <w:name w:val="regpar"/>
    <w:basedOn w:val="a"/>
    <w:rsid w:val="000705AF"/>
    <w:pPr>
      <w:ind w:firstLine="240"/>
    </w:pPr>
  </w:style>
  <w:style w:type="paragraph" w:styleId="a3">
    <w:name w:val="footer"/>
    <w:basedOn w:val="a"/>
    <w:rsid w:val="000705AF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0705AF"/>
    <w:pPr>
      <w:tabs>
        <w:tab w:val="center" w:pos="4200"/>
        <w:tab w:val="right" w:pos="8400"/>
      </w:tabs>
    </w:pPr>
  </w:style>
  <w:style w:type="character" w:styleId="a5">
    <w:name w:val="Hyperlink"/>
    <w:basedOn w:val="a0"/>
    <w:rsid w:val="000705AF"/>
    <w:rPr>
      <w:color w:val="0000FF"/>
      <w:u w:val="single"/>
    </w:rPr>
  </w:style>
  <w:style w:type="paragraph" w:styleId="a6">
    <w:name w:val="footnote text"/>
    <w:basedOn w:val="a"/>
    <w:semiHidden/>
    <w:rsid w:val="00BE3444"/>
    <w:rPr>
      <w:sz w:val="20"/>
      <w:szCs w:val="20"/>
    </w:rPr>
  </w:style>
  <w:style w:type="character" w:styleId="a7">
    <w:name w:val="footnote reference"/>
    <w:basedOn w:val="a0"/>
    <w:semiHidden/>
    <w:rsid w:val="00BE3444"/>
    <w:rPr>
      <w:vertAlign w:val="superscript"/>
    </w:rPr>
  </w:style>
  <w:style w:type="paragraph" w:styleId="a8">
    <w:name w:val="Date"/>
    <w:basedOn w:val="a"/>
    <w:next w:val="a"/>
    <w:rsid w:val="00E82531"/>
  </w:style>
  <w:style w:type="paragraph" w:styleId="a9">
    <w:name w:val="Balloon Text"/>
    <w:basedOn w:val="a"/>
    <w:link w:val="aa"/>
    <w:rsid w:val="00F6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4D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9343D4987C6478DC1BE6EDC107D2A" ma:contentTypeVersion="2" ma:contentTypeDescription="Create a new document." ma:contentTypeScope="" ma:versionID="accf42b3bcc0c5f4f4cd3f70261d3e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02afa3d4ca2a94263dbb7393923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406F-02E8-4FE2-8194-F1FEBA22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49703-CCA3-4976-9DC9-5F43593854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87CB23-BCAF-434B-A336-122CB87B8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92E4C-7B51-4B51-9F93-66F054D1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Links>
    <vt:vector size="12" baseType="variant">
      <vt:variant>
        <vt:i4>7208993</vt:i4>
      </vt:variant>
      <vt:variant>
        <vt:i4>6</vt:i4>
      </vt:variant>
      <vt:variant>
        <vt:i4>0</vt:i4>
      </vt:variant>
      <vt:variant>
        <vt:i4>5</vt:i4>
      </vt:variant>
      <vt:variant>
        <vt:lpwstr>http://www.boi.org.il/</vt:lpwstr>
      </vt:variant>
      <vt:variant>
        <vt:lpwstr/>
      </vt:variant>
      <vt:variant>
        <vt:i4>5898332</vt:i4>
      </vt:variant>
      <vt:variant>
        <vt:i4>3</vt:i4>
      </vt:variant>
      <vt:variant>
        <vt:i4>0</vt:i4>
      </vt:variant>
      <vt:variant>
        <vt:i4>5</vt:i4>
      </vt:variant>
      <vt:variant>
        <vt:lpwstr>http://www.bankisrael.gov.il/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2015-11-24T09:17:00Z</dcterms:created>
  <dcterms:modified xsi:type="dcterms:W3CDTF">2015-11-24T09:17:00Z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0x010100BEE9343D4987C6478DC1BE6EDC107D2A</vt:lpwstr>
  </property>
</Properties>
</file>